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No: CET/Research/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/20__</w:t>
            </w:r>
          </w:p>
        </w:tc>
        <w:tc>
          <w:tcPr>
            <w:tcW w:type="dxa" w:w="4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Date: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……………… </w:t>
            </w:r>
          </w:p>
        </w:tc>
      </w:tr>
      <w:tr>
        <w:tblPrEx>
          <w:shd w:val="clear" w:color="auto" w:fill="auto"/>
        </w:tblPrEx>
        <w:trPr>
          <w:trHeight w:val="590" w:hRule="atLeast"/>
        </w:trPr>
        <w:tc>
          <w:tcPr>
            <w:tcW w:type="dxa" w:w="963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ind w:left="720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Reference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: Research Regulations No. U.O.No. 1166/2023/KTU Thiruvananthapuram, Dated: 16.05.2023 </w:t>
            </w:r>
          </w:p>
        </w:tc>
      </w:tr>
    </w:tbl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1550" w:hRule="atLeast"/>
        </w:trPr>
        <w:tc>
          <w:tcPr>
            <w:tcW w:type="dxa" w:w="9630"/>
            <w:tcBorders>
              <w:top w:val="single" w:color="000000" w:sz="24" w:space="0" w:shadow="0" w:frame="0"/>
              <w:left w:val="nil"/>
              <w:bottom w:val="single" w:color="00000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Minutes of the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 xml:space="preserve">Viva-voce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eeting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of the research scholar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working in the area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………………………………………………………………………………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with the title of the thesis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under the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guidance of the Supervisor/Co-supervisor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……………………………………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held on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at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………………</w:t>
            </w:r>
          </w:p>
        </w:tc>
      </w:tr>
    </w:tbl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Agenda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Verify that Three/Two out of three external examiners have recommended to accept the thesis.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Verify that the modifications suggested by the examiners in the submitted thesis are made in the revised version of the thesis and that the scholar has prepared the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rebuttal statements.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Scholar defending her/his thesis.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sz w:val="24"/>
          <w:szCs w:val="24"/>
          <w:rtl w:val="0"/>
          <w:lang w:val="en-US"/>
        </w:rPr>
        <w:t>udience poses questions and the scholar defends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Fonts w:ascii="Times New Roman" w:hAnsi="Times New Roman"/>
          <w:sz w:val="24"/>
          <w:szCs w:val="24"/>
          <w:rtl w:val="0"/>
        </w:rPr>
        <w:t>iva voce board examine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 scholar on his/her thesis work and evaluate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his/her performance as satisfactory or otherwise. The viva voce board also assess</w:t>
      </w:r>
      <w:r>
        <w:rPr>
          <w:rFonts w:ascii="Times New Roman" w:hAnsi="Times New Roman"/>
          <w:sz w:val="24"/>
          <w:szCs w:val="24"/>
          <w:rtl w:val="0"/>
          <w:lang w:val="en-US"/>
        </w:rPr>
        <w:t>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whether the scholar answers satisfactorily to the questions raised by the thesis examiners(s)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V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iva voce board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may </w:t>
      </w:r>
      <w:r>
        <w:rPr>
          <w:rFonts w:ascii="Times New Roman" w:hAnsi="Times New Roman"/>
          <w:sz w:val="24"/>
          <w:szCs w:val="24"/>
          <w:rtl w:val="0"/>
          <w:lang w:val="en-US"/>
        </w:rPr>
        <w:t>recommend revision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be made in the final version of the thesis after taking into consideration suggestions of the examiners who evaluated the thesis and the discussion at the viva voce.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ecommend for the award of Ph. D degree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f the performance of the research scholar in the viva voce is satisfactory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rtl w:val="0"/>
          <w:lang w:val="en-US"/>
        </w:rPr>
        <w:t>he chairman declares that the board decides to recommend/not recommend the scholar for award of PhD degree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Members present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Body"/>
        <w:numPr>
          <w:ilvl w:val="0"/>
          <w:numId w:val="3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meeting started at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on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…………………</w:t>
      </w:r>
      <w:r>
        <w:rPr>
          <w:rFonts w:ascii="Times New Roman" w:hAnsi="Times New Roman"/>
          <w:sz w:val="24"/>
          <w:szCs w:val="24"/>
          <w:rtl w:val="0"/>
          <w:lang w:val="en-US"/>
        </w:rPr>
        <w:t>. The convener introduced the agenda (which was already communicated to all the members in the Viva-voce board in the Viva-voce announcement notice) and invited the Chairman to chair the meeting. The Chairman welcomed all the members to the meeting. The board verified the items mentioned as 1 and 2 in the agenda and found that the requirements to be verified are met by the research scholar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Then, the Chairman invited the research scholar to defend her/his thesis and accordingly, she/he defended her thesis. Then the Chairman invited audience to pos </w:t>
      </w:r>
      <w:r>
        <w:rPr>
          <w:rFonts w:ascii="Times New Roman" w:hAnsi="Times New Roman"/>
          <w:sz w:val="24"/>
          <w:szCs w:val="24"/>
          <w:rtl w:val="0"/>
          <w:lang w:val="fr-FR"/>
        </w:rPr>
        <w:t>questions</w:t>
      </w:r>
      <w:r>
        <w:rPr>
          <w:rFonts w:ascii="Times New Roman" w:hAnsi="Times New Roman"/>
          <w:sz w:val="24"/>
          <w:szCs w:val="24"/>
          <w:rtl w:val="0"/>
          <w:lang w:val="en-US"/>
        </w:rPr>
        <w:t>. The research scholar answers the questions posed by the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audience</w:t>
      </w:r>
      <w:r>
        <w:rPr>
          <w:rFonts w:ascii="Times New Roman" w:hAnsi="Times New Roman"/>
          <w:sz w:val="24"/>
          <w:szCs w:val="24"/>
          <w:rtl w:val="0"/>
          <w:lang w:val="en-US"/>
        </w:rPr>
        <w:t>. Following this, t</w:t>
      </w:r>
      <w:r>
        <w:rPr>
          <w:rFonts w:ascii="Times New Roman" w:hAnsi="Times New Roman"/>
          <w:sz w:val="24"/>
          <w:szCs w:val="24"/>
          <w:rtl w:val="0"/>
          <w:lang w:val="it-IT"/>
        </w:rPr>
        <w:t>he viva voce board assesse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whether the scholar answer</w:t>
      </w:r>
      <w:r>
        <w:rPr>
          <w:rFonts w:ascii="Times New Roman" w:hAnsi="Times New Roman"/>
          <w:sz w:val="24"/>
          <w:szCs w:val="24"/>
          <w:rtl w:val="0"/>
          <w:lang w:val="en-US"/>
        </w:rPr>
        <w:t>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satisfactorily to the questions raised by the thesis examiners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After discussions, </w:t>
      </w:r>
      <w:r>
        <w:rPr>
          <w:rFonts w:ascii="Times New Roman" w:hAnsi="Times New Roman"/>
          <w:sz w:val="24"/>
          <w:szCs w:val="24"/>
          <w:rtl w:val="0"/>
          <w:lang w:val="it-IT"/>
        </w:rPr>
        <w:t>the viva voce board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decided the following:</w:t>
      </w:r>
    </w:p>
    <w:p>
      <w:pPr>
        <w:pStyle w:val="Body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Performance of the scholar is </w:t>
      </w:r>
      <w:r>
        <w:rPr>
          <w:rFonts w:ascii="Times New Roman" w:hAnsi="Times New Roman"/>
          <w:sz w:val="24"/>
          <w:szCs w:val="24"/>
          <w:rtl w:val="0"/>
          <w:lang w:val="en-US"/>
        </w:rPr>
        <w:t>satisfactory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Following are the modifications </w:t>
      </w:r>
      <w:r>
        <w:rPr>
          <w:rFonts w:ascii="Times New Roman" w:hAnsi="Times New Roman"/>
          <w:sz w:val="24"/>
          <w:szCs w:val="24"/>
          <w:rtl w:val="0"/>
          <w:lang w:val="en-US"/>
        </w:rPr>
        <w:t>to be made in the final version of the thesis</w:t>
      </w:r>
    </w:p>
    <w:p>
      <w:pPr>
        <w:pStyle w:val="Body"/>
        <w:numPr>
          <w:ilvl w:val="1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1"/>
          <w:numId w:val="2"/>
        </w:numPr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</w:t>
      </w:r>
      <w:r>
        <w:rPr>
          <w:rFonts w:ascii="Times New Roman" w:hAnsi="Times New Roman"/>
          <w:sz w:val="24"/>
          <w:szCs w:val="24"/>
          <w:rtl w:val="0"/>
          <w:lang w:val="en-US"/>
        </w:rPr>
        <w:t>erformance of the research scholar in the viva voce is satisfactory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hence </w:t>
      </w:r>
      <w:r>
        <w:rPr>
          <w:rFonts w:ascii="Times New Roman" w:hAnsi="Times New Roman"/>
          <w:sz w:val="24"/>
          <w:szCs w:val="24"/>
          <w:rtl w:val="0"/>
          <w:lang w:val="en-US"/>
        </w:rPr>
        <w:t>Ph. D degree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can be awarded to the candidate.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rtl w:val="0"/>
          <w:lang w:val="en-US"/>
        </w:rPr>
        <w:t>chairman declare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that the board decide</w:t>
      </w:r>
      <w:r>
        <w:rPr>
          <w:rFonts w:ascii="Times New Roman" w:hAnsi="Times New Roman"/>
          <w:sz w:val="24"/>
          <w:szCs w:val="24"/>
          <w:rtl w:val="0"/>
          <w:lang w:val="en-US"/>
        </w:rPr>
        <w:t>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to recommend/not recommend the scholar for award of PhD degree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and the meeting ended at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.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……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the Convener  </w:t>
        <w:tab/>
        <w:tab/>
        <w:tab/>
        <w:tab/>
        <w:tab/>
        <w:tab/>
        <w:t xml:space="preserve">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Signature of the </w:t>
      </w:r>
      <w:r>
        <w:rPr>
          <w:rFonts w:ascii="Times New Roman" w:hAnsi="Times New Roman"/>
          <w:sz w:val="24"/>
          <w:szCs w:val="24"/>
          <w:rtl w:val="0"/>
          <w:lang w:val="en-US"/>
        </w:rPr>
        <w:t>Chairman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8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8 - </w:t>
    </w:r>
    <w:r>
      <w:rPr>
        <w:rFonts w:ascii="Times New Roman" w:hAnsi="Times New Roman"/>
        <w:b w:val="1"/>
        <w:bCs w:val="1"/>
        <w:rtl w:val="0"/>
        <w:lang w:val="fr-FR"/>
      </w:rPr>
      <w:t>Viva-voce Meeting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  <w:u w:val="single"/>
      </w:rPr>
      <w:tab/>
    </w:r>
    <w:r>
      <w:rPr>
        <w:rStyle w:val="Underline"/>
        <w:rFonts w:ascii="Times New Roman" w:hAnsi="Times New Roman"/>
        <w:b w:val="1"/>
        <w:bCs w:val="1"/>
        <w:u w:val="single"/>
        <w:rtl w:val="0"/>
        <w:lang w:val="en-US"/>
      </w:rPr>
      <w:t>Minutes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67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18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Underline">
    <w:name w:val="Underline"/>
    <w:rPr>
      <w:u w:val="singl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