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rFonts w:ascii="Times New Roman" w:cs="Times New Roman" w:hAnsi="Times New Roman" w:eastAsia="Times New Roman"/>
          <w:sz w:val="24"/>
          <w:szCs w:val="24"/>
        </w:rPr>
      </w:pPr>
    </w:p>
    <w:tbl>
      <w:tblPr>
        <w:tblW w:w="96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15"/>
        <w:gridCol w:w="4815"/>
      </w:tblGrid>
      <w:tr>
        <w:tblPrEx>
          <w:shd w:val="clear" w:color="auto" w:fill="cadfff"/>
        </w:tblPrEx>
        <w:trPr>
          <w:trHeight w:val="310" w:hRule="atLeast"/>
        </w:trPr>
        <w:tc>
          <w:tcPr>
            <w:tcW w:type="dxa" w:w="4815"/>
            <w:tcBorders>
              <w:top w:val="nil"/>
              <w:left w:val="nil"/>
              <w:bottom w:val="nil"/>
              <w:right w:val="nil"/>
            </w:tcBorders>
            <w:shd w:val="clear" w:color="auto" w:fill="auto"/>
            <w:tcMar>
              <w:top w:type="dxa" w:w="80"/>
              <w:left w:type="dxa" w:w="80"/>
              <w:bottom w:type="dxa" w:w="80"/>
              <w:right w:type="dxa" w:w="80"/>
            </w:tcMar>
            <w:vAlign w:val="center"/>
          </w:tcPr>
          <w:p>
            <w:pPr>
              <w:pStyle w:val="Table Style 2"/>
            </w:pPr>
            <w:r>
              <w:rPr>
                <w:rFonts w:ascii="Times New Roman" w:hAnsi="Times New Roman"/>
                <w:sz w:val="24"/>
                <w:szCs w:val="24"/>
                <w:shd w:val="nil" w:color="auto" w:fill="auto"/>
                <w:rtl w:val="0"/>
                <w:lang w:val="en-US"/>
              </w:rPr>
              <w:t>No: CET/Research/</w:t>
            </w:r>
            <w:r>
              <w:rPr>
                <w:rFonts w:ascii="Times New Roman" w:hAnsi="Times New Roman" w:hint="default"/>
                <w:sz w:val="24"/>
                <w:szCs w:val="24"/>
                <w:shd w:val="nil" w:color="auto" w:fill="auto"/>
                <w:rtl w:val="0"/>
              </w:rPr>
              <w:t>…………</w:t>
            </w:r>
            <w:r>
              <w:rPr>
                <w:rFonts w:ascii="Times New Roman" w:hAnsi="Times New Roman"/>
                <w:sz w:val="24"/>
                <w:szCs w:val="24"/>
                <w:shd w:val="nil" w:color="auto" w:fill="auto"/>
                <w:rtl w:val="0"/>
              </w:rPr>
              <w:t>/2023</w:t>
            </w:r>
          </w:p>
        </w:tc>
        <w:tc>
          <w:tcPr>
            <w:tcW w:type="dxa" w:w="481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right"/>
            </w:pPr>
            <w:r>
              <w:rPr>
                <w:rFonts w:ascii="Times New Roman" w:hAnsi="Times New Roman"/>
                <w:sz w:val="24"/>
                <w:szCs w:val="24"/>
                <w:shd w:val="nil" w:color="auto" w:fill="auto"/>
                <w:rtl w:val="0"/>
                <w:lang w:val="de-DE"/>
              </w:rPr>
              <w:t xml:space="preserve">Date: </w:t>
            </w:r>
            <w:r>
              <w:rPr>
                <w:rFonts w:ascii="Times New Roman" w:hAnsi="Times New Roman" w:hint="default"/>
                <w:sz w:val="24"/>
                <w:szCs w:val="24"/>
                <w:shd w:val="nil" w:color="auto" w:fill="auto"/>
                <w:rtl w:val="0"/>
              </w:rPr>
              <w:t xml:space="preserve">……………… </w:t>
            </w:r>
          </w:p>
        </w:tc>
      </w:tr>
      <w:tr>
        <w:tblPrEx>
          <w:shd w:val="clear" w:color="auto" w:fill="cadfff"/>
        </w:tblPrEx>
        <w:trPr>
          <w:trHeight w:val="610" w:hRule="atLeast"/>
        </w:trPr>
        <w:tc>
          <w:tcPr>
            <w:tcW w:type="dxa" w:w="9630"/>
            <w:gridSpan w:val="2"/>
            <w:tcBorders>
              <w:top w:val="nil"/>
              <w:left w:val="nil"/>
              <w:bottom w:val="nil"/>
              <w:right w:val="nil"/>
            </w:tcBorders>
            <w:shd w:val="clear" w:color="auto" w:fill="fefffe"/>
            <w:tcMar>
              <w:top w:type="dxa" w:w="80"/>
              <w:left w:type="dxa" w:w="800"/>
              <w:bottom w:type="dxa" w:w="80"/>
              <w:right w:type="dxa" w:w="80"/>
            </w:tcMar>
            <w:vAlign w:val="center"/>
          </w:tcPr>
          <w:p>
            <w:pPr>
              <w:pStyle w:val="Table Style 2"/>
              <w:ind w:left="720" w:firstLine="0"/>
              <w:jc w:val="both"/>
            </w:pPr>
            <w:r>
              <w:rPr>
                <w:rFonts w:ascii="Times New Roman" w:hAnsi="Times New Roman"/>
                <w:b w:val="1"/>
                <w:bCs w:val="1"/>
                <w:sz w:val="24"/>
                <w:szCs w:val="24"/>
                <w:u w:val="single"/>
                <w:shd w:val="nil" w:color="auto" w:fill="auto"/>
                <w:rtl w:val="0"/>
                <w:lang w:val="en-US"/>
              </w:rPr>
              <w:t>Reference</w:t>
            </w:r>
            <w:r>
              <w:rPr>
                <w:rFonts w:ascii="Times New Roman" w:hAnsi="Times New Roman"/>
                <w:sz w:val="24"/>
                <w:szCs w:val="24"/>
                <w:shd w:val="nil" w:color="auto" w:fill="auto"/>
                <w:rtl w:val="0"/>
                <w:lang w:val="en-US"/>
              </w:rPr>
              <w:t xml:space="preserve">: Research Regulations No. U.O.No. 1166/2023/KTU Thiruvananthapuram, Dated: 16.05.2023 </w:t>
            </w:r>
          </w:p>
        </w:tc>
      </w:tr>
    </w:tbl>
    <w:p>
      <w:pPr>
        <w:pStyle w:val="Body A"/>
        <w:widowControl w:val="0"/>
        <w:ind w:left="108" w:hanging="108"/>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tbl>
      <w:tblPr>
        <w:tblW w:w="96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30"/>
      </w:tblGrid>
      <w:tr>
        <w:tblPrEx>
          <w:shd w:val="clear" w:color="auto" w:fill="cadfff"/>
        </w:tblPrEx>
        <w:trPr>
          <w:trHeight w:val="1550" w:hRule="atLeast"/>
        </w:trPr>
        <w:tc>
          <w:tcPr>
            <w:tcW w:type="dxa" w:w="9630"/>
            <w:tcBorders>
              <w:top w:val="single" w:color="000000" w:sz="24" w:space="0" w:shadow="0" w:frame="0"/>
              <w:left w:val="nil"/>
              <w:bottom w:val="single" w:color="000000" w:sz="24" w:space="0" w:shadow="0" w:frame="0"/>
              <w:right w:val="nil"/>
            </w:tcBorders>
            <w:shd w:val="clear" w:color="auto" w:fill="auto"/>
            <w:tcMar>
              <w:top w:type="dxa" w:w="80"/>
              <w:left w:type="dxa" w:w="80"/>
              <w:bottom w:type="dxa" w:w="80"/>
              <w:right w:type="dxa" w:w="80"/>
            </w:tcMar>
            <w:vAlign w:val="center"/>
          </w:tcPr>
          <w:p>
            <w:pPr>
              <w:pStyle w:val="Table Style 2"/>
              <w:jc w:val="both"/>
            </w:pPr>
            <w:r>
              <w:rPr>
                <w:rFonts w:ascii="Times New Roman" w:hAnsi="Times New Roman"/>
                <w:sz w:val="24"/>
                <w:szCs w:val="24"/>
                <w:shd w:val="nil" w:color="auto" w:fill="auto"/>
                <w:rtl w:val="0"/>
                <w:lang w:val="en-US"/>
              </w:rPr>
              <w:t xml:space="preserve">Minutes of the </w:t>
            </w:r>
            <w:r>
              <w:rPr>
                <w:rFonts w:ascii="Times New Roman" w:hAnsi="Times New Roman"/>
                <w:b w:val="1"/>
                <w:bCs w:val="1"/>
                <w:sz w:val="24"/>
                <w:szCs w:val="24"/>
                <w:shd w:val="nil" w:color="auto" w:fill="auto"/>
                <w:rtl w:val="0"/>
                <w:lang w:val="en-US"/>
              </w:rPr>
              <w:t>Comprehensive Viva Meeting</w:t>
            </w:r>
            <w:r>
              <w:rPr>
                <w:rFonts w:ascii="Times New Roman" w:hAnsi="Times New Roman"/>
                <w:sz w:val="24"/>
                <w:szCs w:val="24"/>
                <w:shd w:val="nil" w:color="auto" w:fill="auto"/>
                <w:rtl w:val="0"/>
                <w:lang w:val="en-US"/>
              </w:rPr>
              <w:t xml:space="preserve"> of the research scholar </w:t>
            </w:r>
            <w:r>
              <w:rPr>
                <w:rFonts w:ascii="Times New Roman" w:hAnsi="Times New Roman" w:hint="default"/>
                <w:b w:val="1"/>
                <w:bCs w:val="1"/>
                <w:sz w:val="24"/>
                <w:szCs w:val="24"/>
                <w:shd w:val="nil" w:color="auto" w:fill="auto"/>
                <w:rtl w:val="0"/>
              </w:rPr>
              <w:t>………………………</w:t>
            </w:r>
            <w:r>
              <w:rPr>
                <w:rFonts w:ascii="Times New Roman" w:hAnsi="Times New Roman"/>
                <w:b w:val="1"/>
                <w:bCs w:val="1"/>
                <w:sz w:val="24"/>
                <w:szCs w:val="24"/>
                <w:shd w:val="nil" w:color="auto" w:fill="auto"/>
                <w:rtl w:val="0"/>
                <w:lang w:val="en-US"/>
              </w:rPr>
              <w:t xml:space="preserve"> </w:t>
            </w:r>
            <w:r>
              <w:rPr>
                <w:rFonts w:ascii="Times New Roman" w:hAnsi="Times New Roman" w:hint="default"/>
                <w:b w:val="1"/>
                <w:bCs w:val="1"/>
                <w:sz w:val="24"/>
                <w:szCs w:val="24"/>
                <w:shd w:val="nil" w:color="auto" w:fill="auto"/>
                <w:rtl w:val="0"/>
              </w:rPr>
              <w:t>……………</w:t>
            </w:r>
            <w:r>
              <w:rPr>
                <w:rFonts w:ascii="Times New Roman" w:hAnsi="Times New Roman"/>
                <w:b w:val="1"/>
                <w:bCs w:val="1"/>
                <w:sz w:val="24"/>
                <w:szCs w:val="24"/>
                <w:shd w:val="nil" w:color="auto" w:fill="auto"/>
                <w:rtl w:val="0"/>
                <w:lang w:val="en-US"/>
              </w:rPr>
              <w:t xml:space="preserve"> </w:t>
            </w:r>
            <w:r>
              <w:rPr>
                <w:rFonts w:ascii="Times New Roman" w:hAnsi="Times New Roman"/>
                <w:sz w:val="24"/>
                <w:szCs w:val="24"/>
                <w:shd w:val="nil" w:color="auto" w:fill="auto"/>
                <w:rtl w:val="0"/>
                <w:lang w:val="en-US"/>
              </w:rPr>
              <w:t xml:space="preserve">working in the area </w:t>
            </w:r>
            <w:r>
              <w:rPr>
                <w:rFonts w:ascii="Times New Roman" w:hAnsi="Times New Roman" w:hint="default"/>
                <w:b w:val="1"/>
                <w:bCs w:val="1"/>
                <w:sz w:val="24"/>
                <w:szCs w:val="24"/>
                <w:shd w:val="nil" w:color="auto" w:fill="auto"/>
                <w:rtl w:val="0"/>
              </w:rPr>
              <w:t>…………………………………………………………………</w:t>
            </w:r>
            <w:r>
              <w:rPr>
                <w:rFonts w:ascii="Times New Roman" w:hAnsi="Times New Roman"/>
                <w:b w:val="1"/>
                <w:bCs w:val="1"/>
                <w:sz w:val="24"/>
                <w:szCs w:val="24"/>
                <w:shd w:val="nil" w:color="auto" w:fill="auto"/>
                <w:rtl w:val="0"/>
                <w:lang w:val="en-US"/>
              </w:rPr>
              <w:t xml:space="preserve"> </w:t>
            </w:r>
            <w:r>
              <w:rPr>
                <w:rFonts w:ascii="Times New Roman" w:hAnsi="Times New Roman" w:hint="default"/>
                <w:b w:val="1"/>
                <w:bCs w:val="1"/>
                <w:sz w:val="24"/>
                <w:szCs w:val="24"/>
                <w:shd w:val="nil" w:color="auto" w:fill="auto"/>
                <w:rtl w:val="0"/>
              </w:rPr>
              <w:t>……………………………………………………………………………</w:t>
            </w:r>
            <w:r>
              <w:rPr>
                <w:rFonts w:ascii="Times New Roman" w:hAnsi="Times New Roman"/>
                <w:b w:val="1"/>
                <w:bCs w:val="1"/>
                <w:sz w:val="24"/>
                <w:szCs w:val="24"/>
                <w:shd w:val="nil" w:color="auto" w:fill="auto"/>
                <w:rtl w:val="0"/>
                <w:lang w:val="en-US"/>
              </w:rPr>
              <w:t xml:space="preserve"> </w:t>
            </w:r>
            <w:r>
              <w:rPr>
                <w:rFonts w:ascii="Times New Roman" w:hAnsi="Times New Roman"/>
                <w:sz w:val="24"/>
                <w:szCs w:val="24"/>
                <w:shd w:val="nil" w:color="auto" w:fill="auto"/>
                <w:rtl w:val="0"/>
                <w:lang w:val="en-US"/>
              </w:rPr>
              <w:t xml:space="preserve">under the guidance of the Supervisor/Co-supervisor </w:t>
            </w:r>
            <w:r>
              <w:rPr>
                <w:rFonts w:ascii="Times New Roman" w:hAnsi="Times New Roman" w:hint="default"/>
                <w:b w:val="1"/>
                <w:bCs w:val="1"/>
                <w:sz w:val="24"/>
                <w:szCs w:val="24"/>
                <w:shd w:val="nil" w:color="auto" w:fill="auto"/>
                <w:rtl w:val="0"/>
              </w:rPr>
              <w:t>…………………………………</w:t>
            </w:r>
            <w:r>
              <w:rPr>
                <w:rFonts w:ascii="Times New Roman" w:hAnsi="Times New Roman"/>
                <w:b w:val="1"/>
                <w:bCs w:val="1"/>
                <w:sz w:val="24"/>
                <w:szCs w:val="24"/>
                <w:shd w:val="nil" w:color="auto" w:fill="auto"/>
                <w:rtl w:val="0"/>
                <w:lang w:val="en-US"/>
              </w:rPr>
              <w:t xml:space="preserve">  </w:t>
            </w:r>
            <w:r>
              <w:rPr>
                <w:rFonts w:ascii="Times New Roman" w:hAnsi="Times New Roman"/>
                <w:sz w:val="24"/>
                <w:szCs w:val="24"/>
                <w:shd w:val="nil" w:color="auto" w:fill="auto"/>
                <w:rtl w:val="0"/>
                <w:lang w:val="en-US"/>
              </w:rPr>
              <w:t xml:space="preserve">held on </w:t>
            </w:r>
            <w:r>
              <w:rPr>
                <w:rFonts w:ascii="Times New Roman" w:hAnsi="Times New Roman" w:hint="default"/>
                <w:b w:val="1"/>
                <w:bCs w:val="1"/>
                <w:sz w:val="24"/>
                <w:szCs w:val="24"/>
                <w:shd w:val="nil" w:color="auto" w:fill="auto"/>
                <w:rtl w:val="0"/>
              </w:rPr>
              <w:t>………………</w:t>
            </w:r>
            <w:r>
              <w:rPr>
                <w:rFonts w:ascii="Times New Roman" w:hAnsi="Times New Roman"/>
                <w:b w:val="1"/>
                <w:bCs w:val="1"/>
                <w:sz w:val="24"/>
                <w:szCs w:val="24"/>
                <w:shd w:val="nil" w:color="auto" w:fill="auto"/>
                <w:rtl w:val="0"/>
                <w:lang w:val="en-US"/>
              </w:rPr>
              <w:t xml:space="preserve"> </w:t>
            </w:r>
            <w:r>
              <w:rPr>
                <w:rFonts w:ascii="Times New Roman" w:hAnsi="Times New Roman"/>
                <w:sz w:val="24"/>
                <w:szCs w:val="24"/>
                <w:rtl w:val="0"/>
                <w:lang w:val="en-US"/>
              </w:rPr>
              <w:t>at</w:t>
            </w:r>
            <w:r>
              <w:rPr>
                <w:rFonts w:ascii="Times New Roman" w:hAnsi="Times New Roman"/>
                <w:b w:val="1"/>
                <w:bCs w:val="1"/>
                <w:sz w:val="24"/>
                <w:szCs w:val="24"/>
                <w:shd w:val="nil" w:color="auto" w:fill="auto"/>
                <w:rtl w:val="0"/>
                <w:lang w:val="en-US"/>
              </w:rPr>
              <w:t xml:space="preserve"> </w:t>
            </w:r>
            <w:r>
              <w:rPr>
                <w:rFonts w:ascii="Times New Roman" w:hAnsi="Times New Roman" w:hint="default"/>
                <w:b w:val="1"/>
                <w:bCs w:val="1"/>
                <w:sz w:val="24"/>
                <w:szCs w:val="24"/>
                <w:rtl w:val="0"/>
              </w:rPr>
              <w:t>………………</w:t>
            </w:r>
            <w:r>
              <w:rPr>
                <w:rFonts w:ascii="Times New Roman" w:hAnsi="Times New Roman"/>
                <w:b w:val="1"/>
                <w:bCs w:val="1"/>
                <w:sz w:val="24"/>
                <w:szCs w:val="24"/>
                <w:shd w:val="nil" w:color="auto" w:fill="auto"/>
                <w:rtl w:val="0"/>
                <w:lang w:val="en-US"/>
              </w:rPr>
              <w:t xml:space="preserve"> </w:t>
            </w:r>
            <w:r>
              <w:rPr>
                <w:rFonts w:ascii="Times New Roman" w:hAnsi="Times New Roman"/>
                <w:b w:val="1"/>
                <w:bCs w:val="1"/>
                <w:sz w:val="24"/>
                <w:szCs w:val="24"/>
                <w:shd w:val="nil" w:color="auto" w:fill="auto"/>
                <w:rtl w:val="0"/>
                <w:lang w:val="en-US"/>
              </w:rPr>
              <w:t xml:space="preserve"> </w:t>
            </w:r>
          </w:p>
        </w:tc>
      </w:tr>
    </w:tbl>
    <w:p>
      <w:pPr>
        <w:pStyle w:val="Body A"/>
        <w:widowControl w:val="0"/>
        <w:ind w:left="108" w:hanging="108"/>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Agenda</w:t>
      </w:r>
      <w:r>
        <w:rPr>
          <w:rFonts w:ascii="Times New Roman" w:hAnsi="Times New Roman"/>
          <w:sz w:val="24"/>
          <w:szCs w:val="24"/>
          <w:rtl w:val="0"/>
          <w:lang w:val="en-US"/>
        </w:rPr>
        <w:t xml:space="preserve">: </w:t>
      </w:r>
    </w:p>
    <w:p>
      <w:pPr>
        <w:pStyle w:val="Body A"/>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Presentation about the details of course work completed and area of research by the research scholar.</w:t>
      </w:r>
    </w:p>
    <w:p>
      <w:pPr>
        <w:pStyle w:val="Body A"/>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Oral examination.</w:t>
      </w:r>
    </w:p>
    <w:p>
      <w:pPr>
        <w:pStyle w:val="Body A"/>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Convener announcing the marks obtained by the research scholar for the written part of the comprehensive examination</w:t>
      </w:r>
      <w:r>
        <w:rPr>
          <w:rFonts w:ascii="Times New Roman" w:hAnsi="Times New Roman"/>
          <w:sz w:val="24"/>
          <w:szCs w:val="24"/>
          <w:rtl w:val="0"/>
        </w:rPr>
        <w:t xml:space="preserve">.  </w:t>
      </w:r>
    </w:p>
    <w:p>
      <w:pPr>
        <w:pStyle w:val="Body A"/>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External examiners individually declaring the marks to be awarded to the research scholar for the Oral examination.</w:t>
      </w:r>
    </w:p>
    <w:p>
      <w:pPr>
        <w:pStyle w:val="Body A"/>
        <w:numPr>
          <w:ilvl w:val="0"/>
          <w:numId w:val="2"/>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Awarding the marks scored by the research scholar for the Oral examination as the average  of the marks awarded to the scholar by the e</w:t>
      </w:r>
      <w:r>
        <w:rPr>
          <w:rFonts w:ascii="Times New Roman" w:hAnsi="Times New Roman"/>
          <w:sz w:val="24"/>
          <w:szCs w:val="24"/>
          <w:rtl w:val="0"/>
          <w:lang w:val="pt-PT"/>
        </w:rPr>
        <w:t xml:space="preserve">xternal examiners. </w:t>
      </w:r>
      <w:r>
        <w:rPr>
          <w:rFonts w:ascii="Times New Roman" w:cs="Times New Roman" w:hAnsi="Times New Roman" w:eastAsia="Times New Roman"/>
          <w:sz w:val="24"/>
          <w:szCs w:val="24"/>
        </w:rPr>
        <w:br w:type="textWrapping"/>
      </w:r>
    </w:p>
    <w:p>
      <w:pPr>
        <w:pStyle w:val="Body A"/>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Members present</w:t>
      </w:r>
      <w:r>
        <w:rPr>
          <w:rFonts w:ascii="Times New Roman" w:hAnsi="Times New Roman"/>
          <w:sz w:val="24"/>
          <w:szCs w:val="24"/>
          <w:rtl w:val="0"/>
          <w:lang w:val="en-US"/>
        </w:rPr>
        <w:t xml:space="preserve">: </w:t>
      </w:r>
    </w:p>
    <w:p>
      <w:pPr>
        <w:pStyle w:val="Body A"/>
        <w:numPr>
          <w:ilvl w:val="0"/>
          <w:numId w:val="3"/>
        </w:numPr>
        <w:jc w:val="both"/>
        <w:rPr>
          <w:rFonts w:ascii="Times New Roman" w:cs="Times New Roman" w:hAnsi="Times New Roman" w:eastAsia="Times New Roman"/>
          <w:sz w:val="24"/>
          <w:szCs w:val="24"/>
        </w:rPr>
      </w:pPr>
    </w:p>
    <w:p>
      <w:pPr>
        <w:pStyle w:val="Body A"/>
        <w:numPr>
          <w:ilvl w:val="0"/>
          <w:numId w:val="2"/>
        </w:numPr>
        <w:jc w:val="both"/>
        <w:rPr>
          <w:rFonts w:ascii="Times New Roman" w:cs="Times New Roman" w:hAnsi="Times New Roman" w:eastAsia="Times New Roman"/>
          <w:sz w:val="24"/>
          <w:szCs w:val="24"/>
        </w:rPr>
      </w:pPr>
    </w:p>
    <w:p>
      <w:pPr>
        <w:pStyle w:val="Body A"/>
        <w:numPr>
          <w:ilvl w:val="0"/>
          <w:numId w:val="2"/>
        </w:numPr>
        <w:jc w:val="both"/>
        <w:rPr>
          <w:rFonts w:ascii="Times New Roman" w:cs="Times New Roman" w:hAnsi="Times New Roman" w:eastAsia="Times New Roman"/>
          <w:sz w:val="24"/>
          <w:szCs w:val="24"/>
        </w:rPr>
      </w:pPr>
    </w:p>
    <w:p>
      <w:pPr>
        <w:pStyle w:val="Body A"/>
        <w:numPr>
          <w:ilvl w:val="0"/>
          <w:numId w:val="2"/>
        </w:numPr>
        <w:jc w:val="both"/>
        <w:rPr>
          <w:rFonts w:ascii="Times New Roman" w:cs="Times New Roman" w:hAnsi="Times New Roman" w:eastAsia="Times New Roman"/>
          <w:sz w:val="24"/>
          <w:szCs w:val="24"/>
        </w:rPr>
      </w:pPr>
    </w:p>
    <w:p>
      <w:pPr>
        <w:pStyle w:val="Body A"/>
        <w:numPr>
          <w:ilvl w:val="0"/>
          <w:numId w:val="2"/>
        </w:numPr>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meeting started at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sz w:val="24"/>
          <w:szCs w:val="24"/>
          <w:rtl w:val="0"/>
          <w:lang w:val="en-US"/>
        </w:rPr>
        <w:t xml:space="preserve">  on </w:t>
      </w:r>
      <w:r>
        <w:rPr>
          <w:rFonts w:ascii="Times New Roman" w:hAnsi="Times New Roman" w:hint="default"/>
          <w:b w:val="1"/>
          <w:bCs w:val="1"/>
          <w:sz w:val="24"/>
          <w:szCs w:val="24"/>
          <w:rtl w:val="0"/>
        </w:rPr>
        <w:t>…………………</w:t>
      </w:r>
      <w:r>
        <w:rPr>
          <w:rFonts w:ascii="Times New Roman" w:hAnsi="Times New Roman"/>
          <w:sz w:val="24"/>
          <w:szCs w:val="24"/>
          <w:rtl w:val="0"/>
          <w:lang w:val="en-US"/>
        </w:rPr>
        <w:t xml:space="preserve">. The convener introduced the agenda (which was already communicated to all the DC members in the DC announcement notice) and invited the Chairman to chair the meeting. The Chairman welcomed all the members to the meeting and invited the research scholar to give a presentation about the details of course work completed and area of research.  Following the presentation, oral examination is conducted and the Chairman requested the research scholar to leave and accordingly, the research scholar left the meeting. Then, the convener announced the marks scored by the research scholar for the written part of the comprehensive examination as </w:t>
      </w:r>
      <w:r>
        <w:rPr>
          <w:rFonts w:ascii="Times New Roman" w:hAnsi="Times New Roman" w:hint="default"/>
          <w:b w:val="1"/>
          <w:bCs w:val="1"/>
          <w:sz w:val="24"/>
          <w:szCs w:val="24"/>
          <w:rtl w:val="0"/>
        </w:rPr>
        <w:t>……</w:t>
      </w:r>
      <w:r>
        <w:rPr>
          <w:rFonts w:ascii="Times New Roman" w:hAnsi="Times New Roman"/>
          <w:sz w:val="24"/>
          <w:szCs w:val="24"/>
          <w:rtl w:val="0"/>
          <w:lang w:val="en-US"/>
        </w:rPr>
        <w:t>. Following this, external examiners awarded marks to the research scholar individually for the Oral examination as shown in the table below:</w:t>
      </w:r>
    </w:p>
    <w:p>
      <w:pPr>
        <w:pStyle w:val="Body A"/>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w:t>
      </w:r>
    </w:p>
    <w:tbl>
      <w:tblPr>
        <w:tblW w:w="961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623"/>
        <w:gridCol w:w="4994"/>
      </w:tblGrid>
      <w:tr>
        <w:tblPrEx>
          <w:shd w:val="clear" w:color="auto" w:fill="cadfff"/>
        </w:tblPrEx>
        <w:trPr>
          <w:trHeight w:val="330" w:hRule="atLeast"/>
        </w:trPr>
        <w:tc>
          <w:tcPr>
            <w:tcW w:type="dxa" w:w="46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b w:val="1"/>
                <w:bCs w:val="1"/>
                <w:sz w:val="24"/>
                <w:szCs w:val="24"/>
                <w:shd w:val="nil" w:color="auto" w:fill="auto"/>
                <w:rtl w:val="0"/>
                <w:lang w:val="en-US"/>
              </w:rPr>
              <w:t>Name of External Examiner</w:t>
            </w:r>
          </w:p>
        </w:tc>
        <w:tc>
          <w:tcPr>
            <w:tcW w:type="dxa" w:w="49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b w:val="1"/>
                <w:bCs w:val="1"/>
                <w:sz w:val="24"/>
                <w:szCs w:val="24"/>
                <w:shd w:val="nil" w:color="auto" w:fill="auto"/>
                <w:rtl w:val="0"/>
                <w:lang w:val="en-US"/>
              </w:rPr>
              <w:t>Marks awareded</w:t>
            </w:r>
          </w:p>
        </w:tc>
      </w:tr>
      <w:tr>
        <w:tblPrEx>
          <w:shd w:val="clear" w:color="auto" w:fill="cadfff"/>
        </w:tblPrEx>
        <w:trPr>
          <w:trHeight w:val="330" w:hRule="atLeast"/>
        </w:trPr>
        <w:tc>
          <w:tcPr>
            <w:tcW w:type="dxa" w:w="46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49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30" w:hRule="atLeast"/>
        </w:trPr>
        <w:tc>
          <w:tcPr>
            <w:tcW w:type="dxa" w:w="46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49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bl>
    <w:p>
      <w:pPr>
        <w:pStyle w:val="Body A"/>
        <w:widowControl w:val="0"/>
        <w:ind w:left="108" w:hanging="108"/>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Accordingly, the DC declared the marks scored by the research scholar in the oral examination as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the meeting ended at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sz w:val="24"/>
          <w:szCs w:val="24"/>
          <w:rtl w:val="0"/>
          <w:lang w:val="en-US"/>
        </w:rPr>
        <w:t>.</w:t>
      </w: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p>
    <w:p>
      <w:pPr>
        <w:pStyle w:val="Body A"/>
        <w:jc w:val="both"/>
      </w:pPr>
      <w:r>
        <w:rPr>
          <w:rFonts w:ascii="Times New Roman" w:hAnsi="Times New Roman"/>
          <w:sz w:val="24"/>
          <w:szCs w:val="24"/>
          <w:rtl w:val="0"/>
          <w:lang w:val="en-US"/>
        </w:rPr>
        <w:t xml:space="preserve">Signature of the Convener  </w:t>
        <w:tab/>
        <w:tab/>
        <w:tab/>
        <w:tab/>
        <w:tab/>
        <w:tab/>
        <w:t xml:space="preserve">  Signature of the Chairman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rPr>
        <w:rFonts w:ascii="Times New Roman" w:cs="Times New Roman" w:hAnsi="Times New Roman" w:eastAsia="Times New Roman"/>
        <w:b w:val="1"/>
        <w:bCs w:val="1"/>
      </w:rPr>
    </w:pPr>
    <w:r>
      <w:rPr>
        <w:rFonts w:ascii="Times New Roman" w:hAnsi="Times New Roman"/>
        <w:b w:val="1"/>
        <w:bCs w:val="1"/>
      </w:rPr>
      <w:tab/>
    </w:r>
    <w:r>
      <w:rPr>
        <w:rFonts w:ascii="Times New Roman" w:hAnsi="Times New Roman"/>
        <w:b w:val="1"/>
        <w:bCs w:val="1"/>
        <w:rtl w:val="0"/>
        <w:lang w:val="en-US"/>
      </w:rPr>
      <w:t>College of Engineering Trivandrum</w:t>
    </w:r>
  </w:p>
  <w:p>
    <w:pPr>
      <w:pStyle w:val="Header &amp; Footer"/>
      <w:tabs>
        <w:tab w:val="center" w:pos="4819"/>
        <w:tab w:val="right" w:pos="9612"/>
        <w:tab w:val="clear" w:pos="9020"/>
      </w:tabs>
      <w:rPr>
        <w:rFonts w:ascii="Times New Roman" w:cs="Times New Roman" w:hAnsi="Times New Roman" w:eastAsia="Times New Roman"/>
        <w:b w:val="1"/>
        <w:bCs w:val="1"/>
      </w:rPr>
    </w:pPr>
    <w:r>
      <w:rPr>
        <w:rFonts w:ascii="Times New Roman" w:cs="Times New Roman" w:hAnsi="Times New Roman" w:eastAsia="Times New Roman"/>
        <w:b w:val="1"/>
        <w:bCs w:val="1"/>
      </w:rPr>
      <w:tab/>
    </w:r>
    <w:r>
      <w:rPr>
        <w:rFonts w:ascii="Times New Roman" w:hAnsi="Times New Roman"/>
        <w:b w:val="1"/>
        <w:bCs w:val="1"/>
        <w:rtl w:val="0"/>
        <w:lang w:val="en-US"/>
      </w:rPr>
      <w:t>Doctoral Committee 3 (</w:t>
    </w:r>
    <w:r>
      <w:rPr>
        <w:rFonts w:ascii="Times New Roman" w:hAnsi="Times New Roman"/>
        <w:b w:val="1"/>
        <w:bCs w:val="1"/>
        <w:rtl w:val="0"/>
      </w:rPr>
      <w:t>DC</w:t>
    </w:r>
    <w:r>
      <w:rPr>
        <w:rFonts w:ascii="Times New Roman" w:hAnsi="Times New Roman"/>
        <w:b w:val="1"/>
        <w:bCs w:val="1"/>
        <w:rtl w:val="0"/>
        <w:lang w:val="en-US"/>
      </w:rPr>
      <w:t xml:space="preserve">3 - </w:t>
    </w:r>
    <w:r>
      <w:rPr>
        <w:rFonts w:ascii="Times New Roman" w:hAnsi="Times New Roman"/>
        <w:b w:val="1"/>
        <w:bCs w:val="1"/>
        <w:rtl w:val="0"/>
        <w:lang w:val="en-US"/>
      </w:rPr>
      <w:t>Comprehensive Viva Meeting</w:t>
    </w:r>
    <w:r>
      <w:rPr>
        <w:rFonts w:ascii="Times New Roman" w:hAnsi="Times New Roman"/>
        <w:b w:val="1"/>
        <w:bCs w:val="1"/>
        <w:rtl w:val="0"/>
        <w:lang w:val="en-US"/>
      </w:rPr>
      <w:t>)</w:t>
    </w:r>
  </w:p>
  <w:p>
    <w:pPr>
      <w:pStyle w:val="Header &amp; Footer"/>
      <w:tabs>
        <w:tab w:val="center" w:pos="4819"/>
        <w:tab w:val="right" w:pos="9612"/>
        <w:tab w:val="clear" w:pos="9020"/>
      </w:tabs>
    </w:pPr>
    <w:r>
      <w:rPr>
        <w:rFonts w:ascii="Times New Roman" w:cs="Times New Roman" w:hAnsi="Times New Roman" w:eastAsia="Times New Roman"/>
        <w:b w:val="1"/>
        <w:bCs w:val="1"/>
      </w:rPr>
      <w:tab/>
    </w:r>
    <w:r>
      <w:rPr>
        <w:rFonts w:ascii="Times New Roman" w:hAnsi="Times New Roman"/>
        <w:b w:val="1"/>
        <w:bCs w:val="1"/>
        <w:rtl w:val="0"/>
        <w:lang w:val="en-US"/>
      </w:rPr>
      <w:t>Minutes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676"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