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Progress Report of the scholar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scholar passed the courses approved in DC1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scholar passed comprehensive examination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62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Proposed title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hereby state that I have read the regulation 13.2 in the Research Regulation 2023 (</w:t>
      </w:r>
      <w:r>
        <w:rPr>
          <w:rFonts w:ascii="Times New Roman" w:hAnsi="Times New Roman"/>
          <w:sz w:val="24"/>
          <w:szCs w:val="24"/>
          <w:rtl w:val="0"/>
          <w:lang w:val="it-IT"/>
        </w:rPr>
        <w:t>U.O.No. 1166/2023/KTU Thiruvananthapuram, Dated: 16.05.2023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of the University and the attached research proposal is prepared in accordance with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regulation 13.2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Enclosure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ind w:left="14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Research proposal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134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4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 xml:space="preserve">4 - </w:t>
    </w:r>
    <w:r>
      <w:rPr>
        <w:rFonts w:ascii="Times New Roman" w:hAnsi="Times New Roman"/>
        <w:b w:val="1"/>
        <w:bCs w:val="1"/>
        <w:rtl w:val="0"/>
        <w:lang w:val="en-US"/>
      </w:rPr>
      <w:t>Research Proposal Meeting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a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fter successful completion of the course work and comprehensive examination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